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005" w:rsidRDefault="00E32203" w:rsidP="009C159E">
      <w:pPr>
        <w:spacing w:after="0"/>
        <w:jc w:val="center"/>
        <w:rPr>
          <w:b/>
          <w:sz w:val="32"/>
          <w:szCs w:val="32"/>
        </w:rPr>
      </w:pPr>
      <w:r>
        <w:rPr>
          <w:b/>
          <w:sz w:val="32"/>
          <w:szCs w:val="32"/>
        </w:rPr>
        <w:t>Evaluation</w:t>
      </w:r>
      <w:r w:rsidR="00260BC2">
        <w:rPr>
          <w:b/>
          <w:sz w:val="32"/>
          <w:szCs w:val="32"/>
        </w:rPr>
        <w:t xml:space="preserve"> Committee</w:t>
      </w:r>
    </w:p>
    <w:p w:rsidR="00260BC2" w:rsidRDefault="00260BC2" w:rsidP="00260BC2">
      <w:pPr>
        <w:jc w:val="center"/>
        <w:rPr>
          <w:b/>
          <w:sz w:val="32"/>
          <w:szCs w:val="32"/>
        </w:rPr>
      </w:pPr>
      <w:r>
        <w:rPr>
          <w:b/>
          <w:sz w:val="32"/>
          <w:szCs w:val="32"/>
        </w:rPr>
        <w:t>Mission and Goals Alignment</w:t>
      </w:r>
      <w:r w:rsidR="009C159E">
        <w:rPr>
          <w:b/>
          <w:sz w:val="32"/>
          <w:szCs w:val="32"/>
        </w:rPr>
        <w:t xml:space="preserve"> with District </w:t>
      </w:r>
      <w:r w:rsidR="00EA1C5F">
        <w:rPr>
          <w:b/>
          <w:sz w:val="32"/>
          <w:szCs w:val="32"/>
        </w:rPr>
        <w:t xml:space="preserve">and National </w:t>
      </w:r>
      <w:r w:rsidR="009C159E">
        <w:rPr>
          <w:b/>
          <w:sz w:val="32"/>
          <w:szCs w:val="32"/>
        </w:rPr>
        <w:t>Documents and Thinking</w:t>
      </w:r>
    </w:p>
    <w:p w:rsidR="00260BC2" w:rsidRPr="00497266" w:rsidRDefault="009C159E" w:rsidP="00260BC2">
      <w:pPr>
        <w:rPr>
          <w:b/>
          <w:i/>
          <w:sz w:val="28"/>
          <w:szCs w:val="28"/>
          <w:u w:val="single"/>
        </w:rPr>
      </w:pPr>
      <w:r w:rsidRPr="00497266">
        <w:rPr>
          <w:b/>
          <w:i/>
          <w:sz w:val="28"/>
          <w:szCs w:val="28"/>
          <w:u w:val="single"/>
        </w:rPr>
        <w:t>DESCRIPTION</w:t>
      </w:r>
      <w:r w:rsidR="006D31A2">
        <w:rPr>
          <w:b/>
          <w:i/>
          <w:sz w:val="28"/>
          <w:szCs w:val="28"/>
          <w:u w:val="single"/>
        </w:rPr>
        <w:t xml:space="preserve"> of Each Criteria across Stakeholder </w:t>
      </w:r>
      <w:r w:rsidR="00DE42B4">
        <w:rPr>
          <w:b/>
          <w:i/>
          <w:sz w:val="28"/>
          <w:szCs w:val="28"/>
          <w:u w:val="single"/>
        </w:rPr>
        <w:t>Documents</w:t>
      </w:r>
    </w:p>
    <w:tbl>
      <w:tblPr>
        <w:tblStyle w:val="TableGrid"/>
        <w:tblW w:w="18936" w:type="dxa"/>
        <w:tblLook w:val="04A0"/>
      </w:tblPr>
      <w:tblGrid>
        <w:gridCol w:w="2694"/>
        <w:gridCol w:w="2567"/>
        <w:gridCol w:w="2457"/>
        <w:gridCol w:w="2845"/>
        <w:gridCol w:w="2911"/>
        <w:gridCol w:w="2614"/>
        <w:gridCol w:w="2848"/>
      </w:tblGrid>
      <w:tr w:rsidR="00D2525F" w:rsidRPr="009C159E" w:rsidTr="00F77313">
        <w:tc>
          <w:tcPr>
            <w:tcW w:w="2694" w:type="dxa"/>
            <w:shd w:val="clear" w:color="auto" w:fill="B8CCE4" w:themeFill="accent1" w:themeFillTint="66"/>
            <w:vAlign w:val="center"/>
          </w:tcPr>
          <w:p w:rsidR="00D2525F" w:rsidRDefault="00D2525F" w:rsidP="00C952E6">
            <w:pPr>
              <w:jc w:val="center"/>
              <w:rPr>
                <w:b/>
                <w:szCs w:val="24"/>
              </w:rPr>
            </w:pPr>
            <w:r w:rsidRPr="009C159E">
              <w:rPr>
                <w:b/>
                <w:szCs w:val="24"/>
              </w:rPr>
              <w:t>Criteria</w:t>
            </w:r>
          </w:p>
          <w:p w:rsidR="00D2525F" w:rsidRPr="009C159E" w:rsidRDefault="00D20857" w:rsidP="00C952E6">
            <w:pPr>
              <w:jc w:val="center"/>
              <w:rPr>
                <w:b/>
                <w:szCs w:val="24"/>
              </w:rPr>
            </w:pPr>
            <w:r>
              <w:rPr>
                <w:b/>
                <w:szCs w:val="24"/>
              </w:rPr>
              <w:t xml:space="preserve">Illinois Professional Learning Standards 2010 </w:t>
            </w:r>
          </w:p>
        </w:tc>
        <w:tc>
          <w:tcPr>
            <w:tcW w:w="2567" w:type="dxa"/>
            <w:shd w:val="clear" w:color="auto" w:fill="B8CCE4" w:themeFill="accent1" w:themeFillTint="66"/>
            <w:vAlign w:val="center"/>
          </w:tcPr>
          <w:p w:rsidR="00D2525F" w:rsidRDefault="00D2525F" w:rsidP="00C952E6">
            <w:pPr>
              <w:jc w:val="center"/>
              <w:rPr>
                <w:b/>
                <w:szCs w:val="24"/>
              </w:rPr>
            </w:pPr>
            <w:r w:rsidRPr="009C159E">
              <w:rPr>
                <w:b/>
                <w:szCs w:val="24"/>
              </w:rPr>
              <w:t xml:space="preserve">CCSD 93 Vision and </w:t>
            </w:r>
          </w:p>
          <w:p w:rsidR="00D2525F" w:rsidRPr="009C159E" w:rsidRDefault="00D2525F" w:rsidP="00C952E6">
            <w:pPr>
              <w:jc w:val="center"/>
              <w:rPr>
                <w:b/>
                <w:szCs w:val="24"/>
              </w:rPr>
            </w:pPr>
            <w:r w:rsidRPr="009C159E">
              <w:rPr>
                <w:b/>
                <w:szCs w:val="24"/>
              </w:rPr>
              <w:t>Core Values</w:t>
            </w:r>
          </w:p>
        </w:tc>
        <w:tc>
          <w:tcPr>
            <w:tcW w:w="2457" w:type="dxa"/>
            <w:shd w:val="clear" w:color="auto" w:fill="B8CCE4" w:themeFill="accent1" w:themeFillTint="66"/>
            <w:vAlign w:val="center"/>
          </w:tcPr>
          <w:p w:rsidR="00D2525F" w:rsidRPr="009C159E" w:rsidRDefault="00D2525F" w:rsidP="00C952E6">
            <w:pPr>
              <w:jc w:val="center"/>
              <w:rPr>
                <w:b/>
                <w:szCs w:val="24"/>
              </w:rPr>
            </w:pPr>
            <w:r w:rsidRPr="009C159E">
              <w:rPr>
                <w:b/>
                <w:szCs w:val="24"/>
              </w:rPr>
              <w:t>CSEA Preamble</w:t>
            </w:r>
          </w:p>
        </w:tc>
        <w:tc>
          <w:tcPr>
            <w:tcW w:w="2845" w:type="dxa"/>
            <w:shd w:val="clear" w:color="auto" w:fill="B8CCE4" w:themeFill="accent1" w:themeFillTint="66"/>
            <w:vAlign w:val="center"/>
          </w:tcPr>
          <w:p w:rsidR="00D2525F" w:rsidRPr="009C159E" w:rsidRDefault="00D2525F" w:rsidP="00C952E6">
            <w:pPr>
              <w:jc w:val="center"/>
              <w:rPr>
                <w:b/>
                <w:szCs w:val="24"/>
              </w:rPr>
            </w:pPr>
            <w:r>
              <w:rPr>
                <w:b/>
                <w:szCs w:val="24"/>
              </w:rPr>
              <w:t>ISBE and Federal Legislation</w:t>
            </w:r>
          </w:p>
        </w:tc>
        <w:tc>
          <w:tcPr>
            <w:tcW w:w="2911" w:type="dxa"/>
            <w:shd w:val="clear" w:color="auto" w:fill="B8CCE4" w:themeFill="accent1" w:themeFillTint="66"/>
            <w:vAlign w:val="center"/>
          </w:tcPr>
          <w:p w:rsidR="00D2525F" w:rsidRPr="009C159E" w:rsidRDefault="00D2525F" w:rsidP="00820418">
            <w:pPr>
              <w:jc w:val="center"/>
              <w:rPr>
                <w:b/>
                <w:szCs w:val="24"/>
              </w:rPr>
            </w:pPr>
            <w:r w:rsidRPr="009C159E">
              <w:rPr>
                <w:b/>
                <w:szCs w:val="24"/>
              </w:rPr>
              <w:t>Board of Education Policies</w:t>
            </w:r>
          </w:p>
        </w:tc>
        <w:tc>
          <w:tcPr>
            <w:tcW w:w="2614" w:type="dxa"/>
            <w:shd w:val="clear" w:color="auto" w:fill="B8CCE4" w:themeFill="accent1" w:themeFillTint="66"/>
            <w:vAlign w:val="center"/>
          </w:tcPr>
          <w:p w:rsidR="00D2525F" w:rsidRPr="009C159E" w:rsidRDefault="00D2525F" w:rsidP="00820418">
            <w:pPr>
              <w:jc w:val="center"/>
              <w:rPr>
                <w:b/>
                <w:szCs w:val="24"/>
              </w:rPr>
            </w:pPr>
            <w:r>
              <w:rPr>
                <w:b/>
                <w:szCs w:val="24"/>
              </w:rPr>
              <w:t>Model Core Teaching Standards (DRAFT)</w:t>
            </w:r>
          </w:p>
        </w:tc>
        <w:tc>
          <w:tcPr>
            <w:tcW w:w="2848" w:type="dxa"/>
            <w:shd w:val="clear" w:color="auto" w:fill="B8CCE4" w:themeFill="accent1" w:themeFillTint="66"/>
            <w:vAlign w:val="center"/>
          </w:tcPr>
          <w:p w:rsidR="00D2525F" w:rsidRPr="009C159E" w:rsidRDefault="00D2525F" w:rsidP="00E32203">
            <w:pPr>
              <w:jc w:val="center"/>
              <w:rPr>
                <w:b/>
                <w:szCs w:val="24"/>
              </w:rPr>
            </w:pPr>
            <w:r>
              <w:rPr>
                <w:b/>
                <w:szCs w:val="24"/>
              </w:rPr>
              <w:t xml:space="preserve">Danielson Framework for Teaching </w:t>
            </w:r>
          </w:p>
        </w:tc>
      </w:tr>
      <w:tr w:rsidR="00D2525F" w:rsidTr="00D2525F">
        <w:tc>
          <w:tcPr>
            <w:tcW w:w="2694" w:type="dxa"/>
            <w:vAlign w:val="center"/>
          </w:tcPr>
          <w:p w:rsidR="00D20857" w:rsidRDefault="00D20857" w:rsidP="00D20857">
            <w:pPr>
              <w:pStyle w:val="Default"/>
            </w:pPr>
          </w:p>
          <w:p w:rsidR="00D2525F" w:rsidRDefault="00D20857" w:rsidP="00D20857">
            <w:pPr>
              <w:jc w:val="center"/>
              <w:rPr>
                <w:sz w:val="20"/>
                <w:szCs w:val="20"/>
              </w:rPr>
            </w:pPr>
            <w:r>
              <w:t xml:space="preserve"> </w:t>
            </w:r>
            <w:r>
              <w:rPr>
                <w:b/>
                <w:bCs/>
                <w:i/>
                <w:iCs/>
                <w:sz w:val="20"/>
                <w:szCs w:val="20"/>
              </w:rPr>
              <w:t xml:space="preserve">Standard 1 - Teaching Diverse Students – </w:t>
            </w:r>
            <w:r>
              <w:rPr>
                <w:sz w:val="20"/>
                <w:szCs w:val="20"/>
              </w:rPr>
              <w:t>The competent teacher understands the diverse characteristics and abilities of each student and how individuals develop and learn within the context of their social, economic, cultural, linguistic, and academic experiences. The teacher uses these experiences to create instructional opportunities that maximize student learning.</w:t>
            </w:r>
          </w:p>
          <w:p w:rsidR="00066780" w:rsidRDefault="00066780" w:rsidP="00D20857">
            <w:pPr>
              <w:jc w:val="center"/>
              <w:rPr>
                <w:sz w:val="20"/>
                <w:szCs w:val="20"/>
              </w:rPr>
            </w:pPr>
          </w:p>
          <w:p w:rsidR="00066780" w:rsidRPr="009C159E" w:rsidRDefault="00066780" w:rsidP="00D20857">
            <w:pPr>
              <w:jc w:val="center"/>
              <w:rPr>
                <w:i/>
                <w:szCs w:val="24"/>
              </w:rPr>
            </w:pPr>
          </w:p>
        </w:tc>
        <w:tc>
          <w:tcPr>
            <w:tcW w:w="2567" w:type="dxa"/>
          </w:tcPr>
          <w:p w:rsidR="00D2525F" w:rsidRDefault="00D2525F" w:rsidP="00260BC2">
            <w:pPr>
              <w:rPr>
                <w:szCs w:val="24"/>
              </w:rPr>
            </w:pPr>
          </w:p>
        </w:tc>
        <w:tc>
          <w:tcPr>
            <w:tcW w:w="2457" w:type="dxa"/>
          </w:tcPr>
          <w:p w:rsidR="00D2525F" w:rsidRDefault="00D2525F" w:rsidP="00260BC2">
            <w:pPr>
              <w:rPr>
                <w:szCs w:val="24"/>
              </w:rPr>
            </w:pPr>
          </w:p>
        </w:tc>
        <w:tc>
          <w:tcPr>
            <w:tcW w:w="2845" w:type="dxa"/>
          </w:tcPr>
          <w:p w:rsidR="00D2525F" w:rsidRDefault="00D2525F" w:rsidP="00260BC2">
            <w:pPr>
              <w:rPr>
                <w:szCs w:val="24"/>
              </w:rPr>
            </w:pPr>
          </w:p>
        </w:tc>
        <w:tc>
          <w:tcPr>
            <w:tcW w:w="2911" w:type="dxa"/>
          </w:tcPr>
          <w:p w:rsidR="00D2525F" w:rsidRDefault="00D2525F" w:rsidP="00260BC2">
            <w:pPr>
              <w:rPr>
                <w:szCs w:val="24"/>
              </w:rPr>
            </w:pPr>
          </w:p>
        </w:tc>
        <w:tc>
          <w:tcPr>
            <w:tcW w:w="2614" w:type="dxa"/>
          </w:tcPr>
          <w:p w:rsidR="00D2525F" w:rsidRDefault="00D2525F" w:rsidP="00260BC2">
            <w:pPr>
              <w:rPr>
                <w:szCs w:val="24"/>
              </w:rPr>
            </w:pPr>
          </w:p>
        </w:tc>
        <w:tc>
          <w:tcPr>
            <w:tcW w:w="2848" w:type="dxa"/>
          </w:tcPr>
          <w:p w:rsidR="00D2525F" w:rsidRDefault="00D2525F" w:rsidP="00260BC2">
            <w:pPr>
              <w:rPr>
                <w:szCs w:val="24"/>
              </w:rPr>
            </w:pPr>
          </w:p>
        </w:tc>
      </w:tr>
      <w:tr w:rsidR="00D2525F" w:rsidTr="00D2525F">
        <w:tc>
          <w:tcPr>
            <w:tcW w:w="2694" w:type="dxa"/>
            <w:vAlign w:val="center"/>
          </w:tcPr>
          <w:p w:rsidR="00D2525F" w:rsidRDefault="00D2525F" w:rsidP="009C159E">
            <w:pPr>
              <w:jc w:val="center"/>
              <w:rPr>
                <w:szCs w:val="24"/>
              </w:rPr>
            </w:pPr>
          </w:p>
          <w:p w:rsidR="00D2525F" w:rsidRDefault="00D20857" w:rsidP="00D20857">
            <w:pPr>
              <w:jc w:val="center"/>
              <w:rPr>
                <w:sz w:val="20"/>
                <w:szCs w:val="20"/>
              </w:rPr>
            </w:pPr>
            <w:r>
              <w:t xml:space="preserve"> </w:t>
            </w:r>
            <w:r>
              <w:rPr>
                <w:b/>
                <w:bCs/>
                <w:i/>
                <w:iCs/>
                <w:sz w:val="20"/>
                <w:szCs w:val="20"/>
              </w:rPr>
              <w:t xml:space="preserve">Standard 2 - Content Area and Pedagogical Knowledge – </w:t>
            </w:r>
            <w:r>
              <w:rPr>
                <w:sz w:val="20"/>
                <w:szCs w:val="20"/>
              </w:rPr>
              <w:t>The competent teacher has in-depth understanding of content area knowledge that includes central concepts, methods of inquiry, structures of the disciplines, and content area literacy. The teacher creates meaningful learning experiences for each student based upon interactions among content area and pedagogical knowledge, and evidence-based practice.</w:t>
            </w:r>
          </w:p>
          <w:p w:rsidR="00066780" w:rsidRDefault="00066780" w:rsidP="00D20857">
            <w:pPr>
              <w:jc w:val="center"/>
              <w:rPr>
                <w:sz w:val="20"/>
                <w:szCs w:val="20"/>
              </w:rPr>
            </w:pPr>
          </w:p>
          <w:p w:rsidR="00066780" w:rsidRDefault="00066780" w:rsidP="00D20857">
            <w:pPr>
              <w:jc w:val="center"/>
              <w:rPr>
                <w:sz w:val="20"/>
                <w:szCs w:val="20"/>
              </w:rPr>
            </w:pPr>
          </w:p>
          <w:p w:rsidR="00066780" w:rsidRDefault="00066780" w:rsidP="00D20857">
            <w:pPr>
              <w:jc w:val="center"/>
              <w:rPr>
                <w:sz w:val="20"/>
                <w:szCs w:val="20"/>
              </w:rPr>
            </w:pPr>
          </w:p>
          <w:p w:rsidR="00066780" w:rsidRDefault="00066780" w:rsidP="00D20857">
            <w:pPr>
              <w:jc w:val="center"/>
              <w:rPr>
                <w:sz w:val="20"/>
                <w:szCs w:val="20"/>
              </w:rPr>
            </w:pPr>
          </w:p>
          <w:p w:rsidR="00066780" w:rsidRPr="009C159E" w:rsidRDefault="00066780" w:rsidP="00D20857">
            <w:pPr>
              <w:jc w:val="center"/>
              <w:rPr>
                <w:i/>
                <w:szCs w:val="24"/>
              </w:rPr>
            </w:pPr>
          </w:p>
        </w:tc>
        <w:tc>
          <w:tcPr>
            <w:tcW w:w="2567" w:type="dxa"/>
          </w:tcPr>
          <w:p w:rsidR="00D2525F" w:rsidRDefault="00D2525F" w:rsidP="00260BC2">
            <w:pPr>
              <w:rPr>
                <w:szCs w:val="24"/>
              </w:rPr>
            </w:pPr>
          </w:p>
        </w:tc>
        <w:tc>
          <w:tcPr>
            <w:tcW w:w="2457" w:type="dxa"/>
          </w:tcPr>
          <w:p w:rsidR="00D2525F" w:rsidRDefault="00D2525F" w:rsidP="00260BC2">
            <w:pPr>
              <w:rPr>
                <w:szCs w:val="24"/>
              </w:rPr>
            </w:pPr>
          </w:p>
        </w:tc>
        <w:tc>
          <w:tcPr>
            <w:tcW w:w="2845" w:type="dxa"/>
          </w:tcPr>
          <w:p w:rsidR="00D2525F" w:rsidRDefault="00D2525F" w:rsidP="00260BC2">
            <w:pPr>
              <w:rPr>
                <w:szCs w:val="24"/>
              </w:rPr>
            </w:pPr>
          </w:p>
        </w:tc>
        <w:tc>
          <w:tcPr>
            <w:tcW w:w="2911" w:type="dxa"/>
          </w:tcPr>
          <w:p w:rsidR="00D2525F" w:rsidRDefault="00D2525F" w:rsidP="00260BC2">
            <w:pPr>
              <w:rPr>
                <w:szCs w:val="24"/>
              </w:rPr>
            </w:pPr>
          </w:p>
        </w:tc>
        <w:tc>
          <w:tcPr>
            <w:tcW w:w="2614" w:type="dxa"/>
          </w:tcPr>
          <w:p w:rsidR="00D2525F" w:rsidRDefault="00D2525F" w:rsidP="00260BC2">
            <w:pPr>
              <w:rPr>
                <w:szCs w:val="24"/>
              </w:rPr>
            </w:pPr>
          </w:p>
        </w:tc>
        <w:tc>
          <w:tcPr>
            <w:tcW w:w="2848" w:type="dxa"/>
          </w:tcPr>
          <w:p w:rsidR="00D2525F" w:rsidRDefault="00D2525F" w:rsidP="00260BC2">
            <w:pPr>
              <w:rPr>
                <w:szCs w:val="24"/>
              </w:rPr>
            </w:pPr>
          </w:p>
        </w:tc>
      </w:tr>
      <w:tr w:rsidR="00066780" w:rsidTr="00066780">
        <w:trPr>
          <w:trHeight w:val="1160"/>
        </w:trPr>
        <w:tc>
          <w:tcPr>
            <w:tcW w:w="2694" w:type="dxa"/>
            <w:shd w:val="clear" w:color="auto" w:fill="B6DDE8" w:themeFill="accent5" w:themeFillTint="66"/>
            <w:vAlign w:val="center"/>
          </w:tcPr>
          <w:p w:rsidR="00066780" w:rsidRDefault="00066780" w:rsidP="00066780">
            <w:pPr>
              <w:jc w:val="center"/>
              <w:rPr>
                <w:b/>
                <w:szCs w:val="24"/>
              </w:rPr>
            </w:pPr>
            <w:r w:rsidRPr="009C159E">
              <w:rPr>
                <w:b/>
                <w:szCs w:val="24"/>
              </w:rPr>
              <w:lastRenderedPageBreak/>
              <w:t>Criteria</w:t>
            </w:r>
          </w:p>
          <w:p w:rsidR="00066780" w:rsidRPr="009C159E" w:rsidRDefault="00066780" w:rsidP="00066780">
            <w:pPr>
              <w:jc w:val="center"/>
              <w:rPr>
                <w:b/>
                <w:szCs w:val="24"/>
              </w:rPr>
            </w:pPr>
            <w:r>
              <w:rPr>
                <w:b/>
                <w:szCs w:val="24"/>
              </w:rPr>
              <w:t>Illinois Professional Learning Standards 2010</w:t>
            </w:r>
          </w:p>
        </w:tc>
        <w:tc>
          <w:tcPr>
            <w:tcW w:w="2567" w:type="dxa"/>
            <w:shd w:val="clear" w:color="auto" w:fill="B6DDE8" w:themeFill="accent5" w:themeFillTint="66"/>
            <w:vAlign w:val="center"/>
          </w:tcPr>
          <w:p w:rsidR="00066780" w:rsidRDefault="00066780" w:rsidP="00066780">
            <w:pPr>
              <w:jc w:val="center"/>
              <w:rPr>
                <w:b/>
                <w:szCs w:val="24"/>
              </w:rPr>
            </w:pPr>
            <w:r w:rsidRPr="009C159E">
              <w:rPr>
                <w:b/>
                <w:szCs w:val="24"/>
              </w:rPr>
              <w:t>CCSD 93 Vision and</w:t>
            </w:r>
          </w:p>
          <w:p w:rsidR="00066780" w:rsidRPr="009C159E" w:rsidRDefault="00066780" w:rsidP="00066780">
            <w:pPr>
              <w:jc w:val="center"/>
              <w:rPr>
                <w:b/>
                <w:szCs w:val="24"/>
              </w:rPr>
            </w:pPr>
            <w:r w:rsidRPr="009C159E">
              <w:rPr>
                <w:b/>
                <w:szCs w:val="24"/>
              </w:rPr>
              <w:t>Core Values</w:t>
            </w:r>
          </w:p>
        </w:tc>
        <w:tc>
          <w:tcPr>
            <w:tcW w:w="2457" w:type="dxa"/>
            <w:shd w:val="clear" w:color="auto" w:fill="B6DDE8" w:themeFill="accent5" w:themeFillTint="66"/>
            <w:vAlign w:val="center"/>
          </w:tcPr>
          <w:p w:rsidR="00066780" w:rsidRPr="009C159E" w:rsidRDefault="00066780" w:rsidP="00066780">
            <w:pPr>
              <w:jc w:val="center"/>
              <w:rPr>
                <w:b/>
                <w:szCs w:val="24"/>
              </w:rPr>
            </w:pPr>
            <w:r w:rsidRPr="009C159E">
              <w:rPr>
                <w:b/>
                <w:szCs w:val="24"/>
              </w:rPr>
              <w:t>CSEA Preamble</w:t>
            </w:r>
          </w:p>
        </w:tc>
        <w:tc>
          <w:tcPr>
            <w:tcW w:w="2845" w:type="dxa"/>
            <w:shd w:val="clear" w:color="auto" w:fill="B6DDE8" w:themeFill="accent5" w:themeFillTint="66"/>
            <w:vAlign w:val="center"/>
          </w:tcPr>
          <w:p w:rsidR="00066780" w:rsidRDefault="00066780" w:rsidP="00066780">
            <w:pPr>
              <w:jc w:val="center"/>
              <w:rPr>
                <w:b/>
                <w:szCs w:val="24"/>
              </w:rPr>
            </w:pPr>
          </w:p>
          <w:p w:rsidR="00066780" w:rsidRPr="009C159E" w:rsidRDefault="00066780" w:rsidP="00066780">
            <w:pPr>
              <w:jc w:val="center"/>
              <w:rPr>
                <w:b/>
                <w:szCs w:val="24"/>
              </w:rPr>
            </w:pPr>
            <w:r>
              <w:rPr>
                <w:b/>
                <w:szCs w:val="24"/>
              </w:rPr>
              <w:t>ISBE and Federal Legislation</w:t>
            </w:r>
          </w:p>
        </w:tc>
        <w:tc>
          <w:tcPr>
            <w:tcW w:w="2911" w:type="dxa"/>
            <w:shd w:val="clear" w:color="auto" w:fill="B6DDE8" w:themeFill="accent5" w:themeFillTint="66"/>
            <w:vAlign w:val="center"/>
          </w:tcPr>
          <w:p w:rsidR="00066780" w:rsidRPr="009C159E" w:rsidRDefault="00066780" w:rsidP="00066780">
            <w:pPr>
              <w:jc w:val="center"/>
              <w:rPr>
                <w:b/>
                <w:szCs w:val="24"/>
              </w:rPr>
            </w:pPr>
            <w:r w:rsidRPr="009C159E">
              <w:rPr>
                <w:b/>
                <w:szCs w:val="24"/>
              </w:rPr>
              <w:t>Board of Education Policies</w:t>
            </w:r>
          </w:p>
        </w:tc>
        <w:tc>
          <w:tcPr>
            <w:tcW w:w="2614" w:type="dxa"/>
            <w:shd w:val="clear" w:color="auto" w:fill="B6DDE8" w:themeFill="accent5" w:themeFillTint="66"/>
            <w:vAlign w:val="center"/>
          </w:tcPr>
          <w:p w:rsidR="00066780" w:rsidRPr="009C159E" w:rsidRDefault="00066780" w:rsidP="00066780">
            <w:pPr>
              <w:jc w:val="center"/>
              <w:rPr>
                <w:b/>
                <w:szCs w:val="24"/>
              </w:rPr>
            </w:pPr>
            <w:r>
              <w:rPr>
                <w:b/>
                <w:szCs w:val="24"/>
              </w:rPr>
              <w:t>Model Core Teaching Standards (DRAFT)</w:t>
            </w:r>
          </w:p>
        </w:tc>
        <w:tc>
          <w:tcPr>
            <w:tcW w:w="2848" w:type="dxa"/>
            <w:shd w:val="clear" w:color="auto" w:fill="B6DDE8" w:themeFill="accent5" w:themeFillTint="66"/>
            <w:vAlign w:val="center"/>
          </w:tcPr>
          <w:p w:rsidR="00066780" w:rsidRDefault="00066780" w:rsidP="00066780">
            <w:pPr>
              <w:jc w:val="center"/>
              <w:rPr>
                <w:b/>
                <w:szCs w:val="24"/>
              </w:rPr>
            </w:pPr>
          </w:p>
          <w:p w:rsidR="00066780" w:rsidRPr="009C159E" w:rsidRDefault="00066780" w:rsidP="00066780">
            <w:pPr>
              <w:jc w:val="center"/>
              <w:rPr>
                <w:b/>
                <w:szCs w:val="24"/>
              </w:rPr>
            </w:pPr>
            <w:r>
              <w:rPr>
                <w:b/>
                <w:szCs w:val="24"/>
              </w:rPr>
              <w:t>Danielson Framework for Teaching</w:t>
            </w:r>
          </w:p>
        </w:tc>
      </w:tr>
      <w:tr w:rsidR="00D2525F" w:rsidTr="00D2525F">
        <w:tc>
          <w:tcPr>
            <w:tcW w:w="2694" w:type="dxa"/>
            <w:vAlign w:val="center"/>
          </w:tcPr>
          <w:p w:rsidR="00D2525F" w:rsidRDefault="00D20857" w:rsidP="009C159E">
            <w:pPr>
              <w:jc w:val="center"/>
              <w:rPr>
                <w:sz w:val="20"/>
                <w:szCs w:val="20"/>
              </w:rPr>
            </w:pPr>
            <w:r>
              <w:rPr>
                <w:b/>
                <w:bCs/>
                <w:i/>
                <w:iCs/>
                <w:sz w:val="20"/>
                <w:szCs w:val="20"/>
              </w:rPr>
              <w:t xml:space="preserve">Standard 3 - Planning for Differentiated Instruction – </w:t>
            </w:r>
            <w:r>
              <w:rPr>
                <w:sz w:val="20"/>
                <w:szCs w:val="20"/>
              </w:rPr>
              <w:t>The competent teacher plans and designs instruction based on content area knowledge, diverse student characteristics, student performance data, curriculum goals, and the community context. The teacher plans for ongoing student growth and achievement.</w:t>
            </w:r>
          </w:p>
          <w:p w:rsidR="00F3041F" w:rsidRDefault="00F3041F" w:rsidP="009C159E">
            <w:pPr>
              <w:jc w:val="center"/>
              <w:rPr>
                <w:sz w:val="20"/>
                <w:szCs w:val="20"/>
              </w:rPr>
            </w:pPr>
          </w:p>
          <w:p w:rsidR="00F3041F" w:rsidRPr="009C159E" w:rsidRDefault="00F3041F" w:rsidP="009C159E">
            <w:pPr>
              <w:jc w:val="center"/>
              <w:rPr>
                <w:i/>
                <w:szCs w:val="24"/>
              </w:rPr>
            </w:pPr>
          </w:p>
        </w:tc>
        <w:tc>
          <w:tcPr>
            <w:tcW w:w="2567" w:type="dxa"/>
          </w:tcPr>
          <w:p w:rsidR="00D2525F" w:rsidRDefault="00D2525F" w:rsidP="00260BC2">
            <w:pPr>
              <w:rPr>
                <w:szCs w:val="24"/>
              </w:rPr>
            </w:pPr>
          </w:p>
        </w:tc>
        <w:tc>
          <w:tcPr>
            <w:tcW w:w="2457" w:type="dxa"/>
          </w:tcPr>
          <w:p w:rsidR="00D2525F" w:rsidRDefault="00D2525F" w:rsidP="00260BC2">
            <w:pPr>
              <w:rPr>
                <w:szCs w:val="24"/>
              </w:rPr>
            </w:pPr>
          </w:p>
        </w:tc>
        <w:tc>
          <w:tcPr>
            <w:tcW w:w="2845" w:type="dxa"/>
          </w:tcPr>
          <w:p w:rsidR="00D2525F" w:rsidRDefault="00D2525F" w:rsidP="00260BC2">
            <w:pPr>
              <w:rPr>
                <w:szCs w:val="24"/>
              </w:rPr>
            </w:pPr>
          </w:p>
        </w:tc>
        <w:tc>
          <w:tcPr>
            <w:tcW w:w="2911" w:type="dxa"/>
          </w:tcPr>
          <w:p w:rsidR="00D2525F" w:rsidRDefault="00D2525F" w:rsidP="00260BC2">
            <w:pPr>
              <w:rPr>
                <w:szCs w:val="24"/>
              </w:rPr>
            </w:pPr>
          </w:p>
        </w:tc>
        <w:tc>
          <w:tcPr>
            <w:tcW w:w="2614" w:type="dxa"/>
          </w:tcPr>
          <w:p w:rsidR="00D2525F" w:rsidRDefault="00D2525F" w:rsidP="00260BC2">
            <w:pPr>
              <w:rPr>
                <w:szCs w:val="24"/>
              </w:rPr>
            </w:pPr>
          </w:p>
        </w:tc>
        <w:tc>
          <w:tcPr>
            <w:tcW w:w="2848" w:type="dxa"/>
          </w:tcPr>
          <w:p w:rsidR="00D2525F" w:rsidRDefault="00D2525F" w:rsidP="00260BC2">
            <w:pPr>
              <w:rPr>
                <w:szCs w:val="24"/>
              </w:rPr>
            </w:pPr>
          </w:p>
        </w:tc>
      </w:tr>
      <w:tr w:rsidR="00D20857" w:rsidTr="00D2525F">
        <w:tc>
          <w:tcPr>
            <w:tcW w:w="2694" w:type="dxa"/>
            <w:vAlign w:val="center"/>
          </w:tcPr>
          <w:p w:rsidR="00D20857" w:rsidRDefault="00D20857" w:rsidP="009C159E">
            <w:pPr>
              <w:jc w:val="center"/>
              <w:rPr>
                <w:sz w:val="20"/>
                <w:szCs w:val="20"/>
              </w:rPr>
            </w:pPr>
            <w:r>
              <w:rPr>
                <w:b/>
                <w:bCs/>
                <w:i/>
                <w:iCs/>
                <w:sz w:val="20"/>
                <w:szCs w:val="20"/>
              </w:rPr>
              <w:t xml:space="preserve">Learning Environment – </w:t>
            </w:r>
            <w:r>
              <w:rPr>
                <w:sz w:val="20"/>
                <w:szCs w:val="20"/>
              </w:rPr>
              <w:t>The competent teacher structures a safe and healthy learning environment that facilitates cultural and linguistic responsiveness, emotional well-being, self-efficacy, positive social interaction, mutual respect, active engagement, academic risk-taking, self-motivation, and personal goal-setting.</w:t>
            </w:r>
          </w:p>
          <w:p w:rsidR="00F3041F" w:rsidRDefault="00F3041F" w:rsidP="009C159E">
            <w:pPr>
              <w:jc w:val="center"/>
              <w:rPr>
                <w:sz w:val="20"/>
                <w:szCs w:val="20"/>
              </w:rPr>
            </w:pPr>
          </w:p>
          <w:p w:rsidR="00F3041F" w:rsidRDefault="00F3041F" w:rsidP="009C159E">
            <w:pPr>
              <w:jc w:val="center"/>
              <w:rPr>
                <w:b/>
                <w:bCs/>
                <w:i/>
                <w:iCs/>
                <w:sz w:val="20"/>
                <w:szCs w:val="20"/>
              </w:rPr>
            </w:pPr>
          </w:p>
        </w:tc>
        <w:tc>
          <w:tcPr>
            <w:tcW w:w="2567" w:type="dxa"/>
          </w:tcPr>
          <w:p w:rsidR="00D20857" w:rsidRDefault="00D20857" w:rsidP="00260BC2">
            <w:pPr>
              <w:rPr>
                <w:szCs w:val="24"/>
              </w:rPr>
            </w:pPr>
          </w:p>
        </w:tc>
        <w:tc>
          <w:tcPr>
            <w:tcW w:w="2457" w:type="dxa"/>
          </w:tcPr>
          <w:p w:rsidR="00D20857" w:rsidRDefault="00D20857" w:rsidP="00260BC2">
            <w:pPr>
              <w:rPr>
                <w:szCs w:val="24"/>
              </w:rPr>
            </w:pPr>
          </w:p>
        </w:tc>
        <w:tc>
          <w:tcPr>
            <w:tcW w:w="2845" w:type="dxa"/>
          </w:tcPr>
          <w:p w:rsidR="00D20857" w:rsidRDefault="00D20857" w:rsidP="00260BC2">
            <w:pPr>
              <w:rPr>
                <w:szCs w:val="24"/>
              </w:rPr>
            </w:pPr>
          </w:p>
        </w:tc>
        <w:tc>
          <w:tcPr>
            <w:tcW w:w="2911" w:type="dxa"/>
          </w:tcPr>
          <w:p w:rsidR="00D20857" w:rsidRDefault="00D20857" w:rsidP="00260BC2">
            <w:pPr>
              <w:rPr>
                <w:szCs w:val="24"/>
              </w:rPr>
            </w:pPr>
          </w:p>
        </w:tc>
        <w:tc>
          <w:tcPr>
            <w:tcW w:w="2614" w:type="dxa"/>
          </w:tcPr>
          <w:p w:rsidR="00D20857" w:rsidRDefault="00D20857" w:rsidP="00260BC2">
            <w:pPr>
              <w:rPr>
                <w:szCs w:val="24"/>
              </w:rPr>
            </w:pPr>
          </w:p>
        </w:tc>
        <w:tc>
          <w:tcPr>
            <w:tcW w:w="2848" w:type="dxa"/>
          </w:tcPr>
          <w:p w:rsidR="00D20857" w:rsidRDefault="00D20857" w:rsidP="00260BC2">
            <w:pPr>
              <w:rPr>
                <w:szCs w:val="24"/>
              </w:rPr>
            </w:pPr>
          </w:p>
        </w:tc>
      </w:tr>
      <w:tr w:rsidR="00D20857" w:rsidTr="00D2525F">
        <w:tc>
          <w:tcPr>
            <w:tcW w:w="2694" w:type="dxa"/>
            <w:vAlign w:val="center"/>
          </w:tcPr>
          <w:p w:rsidR="00D20857" w:rsidRDefault="00D20857" w:rsidP="009C159E">
            <w:pPr>
              <w:jc w:val="center"/>
              <w:rPr>
                <w:sz w:val="20"/>
                <w:szCs w:val="20"/>
              </w:rPr>
            </w:pPr>
            <w:r>
              <w:rPr>
                <w:b/>
                <w:bCs/>
                <w:i/>
                <w:iCs/>
                <w:sz w:val="20"/>
                <w:szCs w:val="20"/>
              </w:rPr>
              <w:t xml:space="preserve">Instructional Delivery – </w:t>
            </w:r>
            <w:r>
              <w:rPr>
                <w:sz w:val="20"/>
                <w:szCs w:val="20"/>
              </w:rPr>
              <w:t>The competent teacher differentiates instruction by using a variety of strategies that support critical and creative thinking, problem-solving, and continuous growth and learning. This teacher understands that the classroom is a dynamic environment requiring ongoing modification of instruction to enhance learning for each student.</w:t>
            </w:r>
          </w:p>
          <w:p w:rsidR="00F3041F" w:rsidRDefault="00F3041F" w:rsidP="009C159E">
            <w:pPr>
              <w:jc w:val="center"/>
              <w:rPr>
                <w:sz w:val="20"/>
                <w:szCs w:val="20"/>
              </w:rPr>
            </w:pPr>
          </w:p>
          <w:p w:rsidR="00F3041F" w:rsidRDefault="00F3041F" w:rsidP="009C159E">
            <w:pPr>
              <w:jc w:val="center"/>
              <w:rPr>
                <w:sz w:val="20"/>
                <w:szCs w:val="20"/>
              </w:rPr>
            </w:pPr>
          </w:p>
          <w:p w:rsidR="00F3041F" w:rsidRDefault="00F3041F" w:rsidP="009C159E">
            <w:pPr>
              <w:jc w:val="center"/>
              <w:rPr>
                <w:b/>
                <w:bCs/>
                <w:i/>
                <w:iCs/>
                <w:sz w:val="20"/>
                <w:szCs w:val="20"/>
              </w:rPr>
            </w:pPr>
          </w:p>
        </w:tc>
        <w:tc>
          <w:tcPr>
            <w:tcW w:w="2567" w:type="dxa"/>
          </w:tcPr>
          <w:p w:rsidR="00D20857" w:rsidRDefault="00D20857" w:rsidP="00260BC2">
            <w:pPr>
              <w:rPr>
                <w:szCs w:val="24"/>
              </w:rPr>
            </w:pPr>
          </w:p>
        </w:tc>
        <w:tc>
          <w:tcPr>
            <w:tcW w:w="2457" w:type="dxa"/>
          </w:tcPr>
          <w:p w:rsidR="00D20857" w:rsidRDefault="00D20857" w:rsidP="00260BC2">
            <w:pPr>
              <w:rPr>
                <w:szCs w:val="24"/>
              </w:rPr>
            </w:pPr>
          </w:p>
        </w:tc>
        <w:tc>
          <w:tcPr>
            <w:tcW w:w="2845" w:type="dxa"/>
          </w:tcPr>
          <w:p w:rsidR="00D20857" w:rsidRDefault="00D20857" w:rsidP="00260BC2">
            <w:pPr>
              <w:rPr>
                <w:szCs w:val="24"/>
              </w:rPr>
            </w:pPr>
          </w:p>
        </w:tc>
        <w:tc>
          <w:tcPr>
            <w:tcW w:w="2911" w:type="dxa"/>
          </w:tcPr>
          <w:p w:rsidR="00D20857" w:rsidRDefault="00D20857" w:rsidP="00260BC2">
            <w:pPr>
              <w:rPr>
                <w:szCs w:val="24"/>
              </w:rPr>
            </w:pPr>
          </w:p>
        </w:tc>
        <w:tc>
          <w:tcPr>
            <w:tcW w:w="2614" w:type="dxa"/>
          </w:tcPr>
          <w:p w:rsidR="00D20857" w:rsidRDefault="00D20857" w:rsidP="00260BC2">
            <w:pPr>
              <w:rPr>
                <w:szCs w:val="24"/>
              </w:rPr>
            </w:pPr>
          </w:p>
        </w:tc>
        <w:tc>
          <w:tcPr>
            <w:tcW w:w="2848" w:type="dxa"/>
          </w:tcPr>
          <w:p w:rsidR="00D20857" w:rsidRDefault="00D20857" w:rsidP="00260BC2">
            <w:pPr>
              <w:rPr>
                <w:szCs w:val="24"/>
              </w:rPr>
            </w:pPr>
          </w:p>
        </w:tc>
      </w:tr>
      <w:tr w:rsidR="00F3041F" w:rsidTr="00F3041F">
        <w:tc>
          <w:tcPr>
            <w:tcW w:w="2694" w:type="dxa"/>
            <w:shd w:val="clear" w:color="auto" w:fill="B6DDE8" w:themeFill="accent5" w:themeFillTint="66"/>
            <w:vAlign w:val="center"/>
          </w:tcPr>
          <w:p w:rsidR="00F3041F" w:rsidRDefault="00F3041F" w:rsidP="00E816D3">
            <w:pPr>
              <w:jc w:val="center"/>
              <w:rPr>
                <w:b/>
                <w:szCs w:val="24"/>
              </w:rPr>
            </w:pPr>
            <w:r w:rsidRPr="009C159E">
              <w:rPr>
                <w:b/>
                <w:szCs w:val="24"/>
              </w:rPr>
              <w:lastRenderedPageBreak/>
              <w:t>Criteria</w:t>
            </w:r>
          </w:p>
          <w:p w:rsidR="00F3041F" w:rsidRPr="009C159E" w:rsidRDefault="00F3041F" w:rsidP="00E816D3">
            <w:pPr>
              <w:jc w:val="center"/>
              <w:rPr>
                <w:b/>
                <w:szCs w:val="24"/>
              </w:rPr>
            </w:pPr>
            <w:r>
              <w:rPr>
                <w:b/>
                <w:szCs w:val="24"/>
              </w:rPr>
              <w:t>Illinois Professional Learning Standards 2010</w:t>
            </w:r>
          </w:p>
        </w:tc>
        <w:tc>
          <w:tcPr>
            <w:tcW w:w="2567" w:type="dxa"/>
            <w:shd w:val="clear" w:color="auto" w:fill="B6DDE8" w:themeFill="accent5" w:themeFillTint="66"/>
            <w:vAlign w:val="center"/>
          </w:tcPr>
          <w:p w:rsidR="00F3041F" w:rsidRDefault="00F3041F" w:rsidP="00E816D3">
            <w:pPr>
              <w:jc w:val="center"/>
              <w:rPr>
                <w:b/>
                <w:szCs w:val="24"/>
              </w:rPr>
            </w:pPr>
            <w:r w:rsidRPr="009C159E">
              <w:rPr>
                <w:b/>
                <w:szCs w:val="24"/>
              </w:rPr>
              <w:t>CCSD 93 Vision and</w:t>
            </w:r>
          </w:p>
          <w:p w:rsidR="00F3041F" w:rsidRPr="009C159E" w:rsidRDefault="00F3041F" w:rsidP="00E816D3">
            <w:pPr>
              <w:jc w:val="center"/>
              <w:rPr>
                <w:b/>
                <w:szCs w:val="24"/>
              </w:rPr>
            </w:pPr>
            <w:r w:rsidRPr="009C159E">
              <w:rPr>
                <w:b/>
                <w:szCs w:val="24"/>
              </w:rPr>
              <w:t>Core Values</w:t>
            </w:r>
          </w:p>
        </w:tc>
        <w:tc>
          <w:tcPr>
            <w:tcW w:w="2457" w:type="dxa"/>
            <w:shd w:val="clear" w:color="auto" w:fill="B6DDE8" w:themeFill="accent5" w:themeFillTint="66"/>
            <w:vAlign w:val="center"/>
          </w:tcPr>
          <w:p w:rsidR="00F3041F" w:rsidRPr="009C159E" w:rsidRDefault="00F3041F" w:rsidP="00E816D3">
            <w:pPr>
              <w:jc w:val="center"/>
              <w:rPr>
                <w:b/>
                <w:szCs w:val="24"/>
              </w:rPr>
            </w:pPr>
            <w:r w:rsidRPr="009C159E">
              <w:rPr>
                <w:b/>
                <w:szCs w:val="24"/>
              </w:rPr>
              <w:t>CSEA Preamble</w:t>
            </w:r>
          </w:p>
        </w:tc>
        <w:tc>
          <w:tcPr>
            <w:tcW w:w="2845" w:type="dxa"/>
            <w:shd w:val="clear" w:color="auto" w:fill="B6DDE8" w:themeFill="accent5" w:themeFillTint="66"/>
            <w:vAlign w:val="center"/>
          </w:tcPr>
          <w:p w:rsidR="00F3041F" w:rsidRDefault="00F3041F" w:rsidP="00E816D3">
            <w:pPr>
              <w:jc w:val="center"/>
              <w:rPr>
                <w:b/>
                <w:szCs w:val="24"/>
              </w:rPr>
            </w:pPr>
          </w:p>
          <w:p w:rsidR="00F3041F" w:rsidRPr="009C159E" w:rsidRDefault="00F3041F" w:rsidP="00E816D3">
            <w:pPr>
              <w:jc w:val="center"/>
              <w:rPr>
                <w:b/>
                <w:szCs w:val="24"/>
              </w:rPr>
            </w:pPr>
            <w:r>
              <w:rPr>
                <w:b/>
                <w:szCs w:val="24"/>
              </w:rPr>
              <w:t>ISBE and Federal Legislation</w:t>
            </w:r>
          </w:p>
        </w:tc>
        <w:tc>
          <w:tcPr>
            <w:tcW w:w="2911" w:type="dxa"/>
            <w:shd w:val="clear" w:color="auto" w:fill="B6DDE8" w:themeFill="accent5" w:themeFillTint="66"/>
            <w:vAlign w:val="center"/>
          </w:tcPr>
          <w:p w:rsidR="00F3041F" w:rsidRPr="009C159E" w:rsidRDefault="00F3041F" w:rsidP="00E816D3">
            <w:pPr>
              <w:jc w:val="center"/>
              <w:rPr>
                <w:b/>
                <w:szCs w:val="24"/>
              </w:rPr>
            </w:pPr>
            <w:r w:rsidRPr="009C159E">
              <w:rPr>
                <w:b/>
                <w:szCs w:val="24"/>
              </w:rPr>
              <w:t>Board of Education Policies</w:t>
            </w:r>
          </w:p>
        </w:tc>
        <w:tc>
          <w:tcPr>
            <w:tcW w:w="2614" w:type="dxa"/>
            <w:shd w:val="clear" w:color="auto" w:fill="B6DDE8" w:themeFill="accent5" w:themeFillTint="66"/>
            <w:vAlign w:val="center"/>
          </w:tcPr>
          <w:p w:rsidR="00F3041F" w:rsidRPr="009C159E" w:rsidRDefault="00F3041F" w:rsidP="00E816D3">
            <w:pPr>
              <w:jc w:val="center"/>
              <w:rPr>
                <w:b/>
                <w:szCs w:val="24"/>
              </w:rPr>
            </w:pPr>
            <w:r>
              <w:rPr>
                <w:b/>
                <w:szCs w:val="24"/>
              </w:rPr>
              <w:t>Model Core Teaching Standards (DRAFT)</w:t>
            </w:r>
          </w:p>
        </w:tc>
        <w:tc>
          <w:tcPr>
            <w:tcW w:w="2848" w:type="dxa"/>
            <w:shd w:val="clear" w:color="auto" w:fill="B6DDE8" w:themeFill="accent5" w:themeFillTint="66"/>
            <w:vAlign w:val="center"/>
          </w:tcPr>
          <w:p w:rsidR="00F3041F" w:rsidRDefault="00F3041F" w:rsidP="00E816D3">
            <w:pPr>
              <w:jc w:val="center"/>
              <w:rPr>
                <w:b/>
                <w:szCs w:val="24"/>
              </w:rPr>
            </w:pPr>
          </w:p>
          <w:p w:rsidR="00F3041F" w:rsidRPr="009C159E" w:rsidRDefault="00F3041F" w:rsidP="00E816D3">
            <w:pPr>
              <w:jc w:val="center"/>
              <w:rPr>
                <w:b/>
                <w:szCs w:val="24"/>
              </w:rPr>
            </w:pPr>
            <w:r>
              <w:rPr>
                <w:b/>
                <w:szCs w:val="24"/>
              </w:rPr>
              <w:t>Danielson Framework for Teaching</w:t>
            </w:r>
          </w:p>
        </w:tc>
      </w:tr>
      <w:tr w:rsidR="00D20857" w:rsidTr="00D2525F">
        <w:tc>
          <w:tcPr>
            <w:tcW w:w="2694" w:type="dxa"/>
            <w:vAlign w:val="center"/>
          </w:tcPr>
          <w:p w:rsidR="00D20857" w:rsidRDefault="00D20857" w:rsidP="009C159E">
            <w:pPr>
              <w:jc w:val="center"/>
              <w:rPr>
                <w:b/>
                <w:bCs/>
                <w:i/>
                <w:iCs/>
                <w:sz w:val="20"/>
                <w:szCs w:val="20"/>
              </w:rPr>
            </w:pPr>
            <w:r>
              <w:rPr>
                <w:b/>
                <w:bCs/>
                <w:i/>
                <w:iCs/>
                <w:sz w:val="20"/>
                <w:szCs w:val="20"/>
              </w:rPr>
              <w:t xml:space="preserve">Reading, Writing, and Oral Communication – </w:t>
            </w:r>
            <w:r>
              <w:rPr>
                <w:sz w:val="20"/>
                <w:szCs w:val="20"/>
              </w:rPr>
              <w:t>The competent teacher has foundational knowledge of reading, writing, and oral communication within the content area and recognizes and addresses student reading, writing, and oral communication needs to facilitate the acquisition of content knowledge.</w:t>
            </w:r>
          </w:p>
        </w:tc>
        <w:tc>
          <w:tcPr>
            <w:tcW w:w="2567" w:type="dxa"/>
          </w:tcPr>
          <w:p w:rsidR="00D20857" w:rsidRDefault="00D20857" w:rsidP="00260BC2">
            <w:pPr>
              <w:rPr>
                <w:szCs w:val="24"/>
              </w:rPr>
            </w:pPr>
          </w:p>
        </w:tc>
        <w:tc>
          <w:tcPr>
            <w:tcW w:w="2457" w:type="dxa"/>
          </w:tcPr>
          <w:p w:rsidR="00D20857" w:rsidRDefault="00D20857" w:rsidP="00260BC2">
            <w:pPr>
              <w:rPr>
                <w:szCs w:val="24"/>
              </w:rPr>
            </w:pPr>
          </w:p>
        </w:tc>
        <w:tc>
          <w:tcPr>
            <w:tcW w:w="2845" w:type="dxa"/>
          </w:tcPr>
          <w:p w:rsidR="00D20857" w:rsidRDefault="00D20857" w:rsidP="00260BC2">
            <w:pPr>
              <w:rPr>
                <w:szCs w:val="24"/>
              </w:rPr>
            </w:pPr>
          </w:p>
        </w:tc>
        <w:tc>
          <w:tcPr>
            <w:tcW w:w="2911" w:type="dxa"/>
          </w:tcPr>
          <w:p w:rsidR="00D20857" w:rsidRDefault="00D20857" w:rsidP="00260BC2">
            <w:pPr>
              <w:rPr>
                <w:szCs w:val="24"/>
              </w:rPr>
            </w:pPr>
          </w:p>
        </w:tc>
        <w:tc>
          <w:tcPr>
            <w:tcW w:w="2614" w:type="dxa"/>
          </w:tcPr>
          <w:p w:rsidR="00D20857" w:rsidRDefault="00D20857" w:rsidP="00260BC2">
            <w:pPr>
              <w:rPr>
                <w:szCs w:val="24"/>
              </w:rPr>
            </w:pPr>
          </w:p>
        </w:tc>
        <w:tc>
          <w:tcPr>
            <w:tcW w:w="2848" w:type="dxa"/>
          </w:tcPr>
          <w:p w:rsidR="00D20857" w:rsidRDefault="00D20857" w:rsidP="00260BC2">
            <w:pPr>
              <w:rPr>
                <w:szCs w:val="24"/>
              </w:rPr>
            </w:pPr>
          </w:p>
        </w:tc>
      </w:tr>
    </w:tbl>
    <w:p w:rsidR="00260BC2" w:rsidRPr="001262F1" w:rsidRDefault="00260BC2" w:rsidP="00260BC2">
      <w:pPr>
        <w:rPr>
          <w:sz w:val="4"/>
          <w:szCs w:val="4"/>
        </w:rPr>
      </w:pPr>
    </w:p>
    <w:sectPr w:rsidR="00260BC2" w:rsidRPr="001262F1" w:rsidSect="0031136B">
      <w:pgSz w:w="20160" w:h="12240" w:orient="landscape" w:code="5"/>
      <w:pgMar w:top="720" w:right="720" w:bottom="720" w:left="72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B39" w:rsidRDefault="00AE0B39" w:rsidP="0031136B">
      <w:pPr>
        <w:spacing w:after="0" w:line="240" w:lineRule="auto"/>
      </w:pPr>
      <w:r>
        <w:separator/>
      </w:r>
    </w:p>
  </w:endnote>
  <w:endnote w:type="continuationSeparator" w:id="0">
    <w:p w:rsidR="00AE0B39" w:rsidRDefault="00AE0B39" w:rsidP="003113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B39" w:rsidRDefault="00AE0B39" w:rsidP="0031136B">
      <w:pPr>
        <w:spacing w:after="0" w:line="240" w:lineRule="auto"/>
      </w:pPr>
      <w:r>
        <w:separator/>
      </w:r>
    </w:p>
  </w:footnote>
  <w:footnote w:type="continuationSeparator" w:id="0">
    <w:p w:rsidR="00AE0B39" w:rsidRDefault="00AE0B39" w:rsidP="0031136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260BC2"/>
    <w:rsid w:val="00022BAF"/>
    <w:rsid w:val="00037CF2"/>
    <w:rsid w:val="00066780"/>
    <w:rsid w:val="00083074"/>
    <w:rsid w:val="001262F1"/>
    <w:rsid w:val="0016572B"/>
    <w:rsid w:val="0019644B"/>
    <w:rsid w:val="00223C23"/>
    <w:rsid w:val="00260BC2"/>
    <w:rsid w:val="002A4C0C"/>
    <w:rsid w:val="003065D4"/>
    <w:rsid w:val="0031136B"/>
    <w:rsid w:val="003A1CBA"/>
    <w:rsid w:val="003E0D34"/>
    <w:rsid w:val="004565D9"/>
    <w:rsid w:val="00497266"/>
    <w:rsid w:val="004E2262"/>
    <w:rsid w:val="005154BB"/>
    <w:rsid w:val="00603C3B"/>
    <w:rsid w:val="00622ACB"/>
    <w:rsid w:val="00676005"/>
    <w:rsid w:val="006D31A2"/>
    <w:rsid w:val="007F761B"/>
    <w:rsid w:val="00911E6B"/>
    <w:rsid w:val="00952D7B"/>
    <w:rsid w:val="009C159E"/>
    <w:rsid w:val="009D675A"/>
    <w:rsid w:val="009F6B94"/>
    <w:rsid w:val="00AE0B39"/>
    <w:rsid w:val="00C952E6"/>
    <w:rsid w:val="00CF318B"/>
    <w:rsid w:val="00D20857"/>
    <w:rsid w:val="00D2525F"/>
    <w:rsid w:val="00D45EC1"/>
    <w:rsid w:val="00DE3DD8"/>
    <w:rsid w:val="00DE42B4"/>
    <w:rsid w:val="00E32203"/>
    <w:rsid w:val="00EA1C5F"/>
    <w:rsid w:val="00F259B3"/>
    <w:rsid w:val="00F304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0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15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113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136B"/>
  </w:style>
  <w:style w:type="paragraph" w:styleId="Footer">
    <w:name w:val="footer"/>
    <w:basedOn w:val="Normal"/>
    <w:link w:val="FooterChar"/>
    <w:uiPriority w:val="99"/>
    <w:semiHidden/>
    <w:unhideWhenUsed/>
    <w:rsid w:val="003113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136B"/>
  </w:style>
  <w:style w:type="paragraph" w:customStyle="1" w:styleId="Default">
    <w:name w:val="Default"/>
    <w:rsid w:val="00D20857"/>
    <w:pPr>
      <w:autoSpaceDE w:val="0"/>
      <w:autoSpaceDN w:val="0"/>
      <w:adjustRightInd w:val="0"/>
      <w:spacing w:after="0" w:line="240" w:lineRule="auto"/>
    </w:pPr>
    <w:rPr>
      <w:rFonts w:ascii="Arial" w:hAnsi="Arial" w:cs="Arial"/>
      <w:color w:val="00000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CCSD 93</Company>
  <LinksUpToDate>false</LinksUpToDate>
  <CharactersWithSpaces>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CCSD 93</dc:creator>
  <cp:keywords/>
  <dc:description/>
  <cp:lastModifiedBy>CCSD 93</cp:lastModifiedBy>
  <cp:revision>5</cp:revision>
  <dcterms:created xsi:type="dcterms:W3CDTF">2011-02-17T17:01:00Z</dcterms:created>
  <dcterms:modified xsi:type="dcterms:W3CDTF">2011-02-20T21:57:00Z</dcterms:modified>
</cp:coreProperties>
</file>